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2469" w14:textId="77777777" w:rsidR="00FC6BAF" w:rsidRPr="00FC6BAF" w:rsidRDefault="00FC6BAF" w:rsidP="00FC6BAF">
      <w:pPr>
        <w:pStyle w:val="NoSpacing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 xml:space="preserve">                                                                                                        </w:t>
      </w:r>
      <w:bookmarkStart w:id="0" w:name="_Hlk190525146"/>
      <w:r w:rsidRPr="00FC6BAF">
        <w:rPr>
          <w:sz w:val="24"/>
          <w:szCs w:val="24"/>
          <w:lang w:val="az-Latn-AZ"/>
        </w:rPr>
        <w:t xml:space="preserve">TƏSDİQ EDİLMİŞDİR </w:t>
      </w:r>
    </w:p>
    <w:p w14:paraId="40E9B705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  <w:r w:rsidRPr="00FC6BAF">
        <w:rPr>
          <w:rFonts w:eastAsia="Times New Roman"/>
          <w:sz w:val="24"/>
          <w:szCs w:val="24"/>
          <w:lang w:val="az-Latn-AZ"/>
        </w:rPr>
        <w:t xml:space="preserve">                                                                                                        Azərbaycan Respublikası</w:t>
      </w:r>
    </w:p>
    <w:p w14:paraId="611F23B7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  <w:r w:rsidRPr="00FC6BAF">
        <w:rPr>
          <w:rFonts w:eastAsia="Times New Roman"/>
          <w:sz w:val="24"/>
          <w:szCs w:val="24"/>
          <w:lang w:val="az-Latn-AZ"/>
        </w:rPr>
        <w:t xml:space="preserve">                                                                                                        Səhiyyə Nazirliyi</w:t>
      </w:r>
    </w:p>
    <w:p w14:paraId="02AA08B6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  <w:r w:rsidRPr="00FC6BAF">
        <w:rPr>
          <w:rFonts w:eastAsia="Times New Roman"/>
          <w:sz w:val="24"/>
          <w:szCs w:val="24"/>
          <w:lang w:val="az-Latn-AZ"/>
        </w:rPr>
        <w:t xml:space="preserve">                                                                                                        Farmakoloji və Farmakopeya</w:t>
      </w:r>
    </w:p>
    <w:p w14:paraId="501CF0CD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  <w:r w:rsidRPr="00FC6BAF">
        <w:rPr>
          <w:rFonts w:eastAsia="Times New Roman"/>
          <w:sz w:val="24"/>
          <w:szCs w:val="24"/>
          <w:lang w:val="az-Latn-AZ"/>
        </w:rPr>
        <w:t xml:space="preserve">                                                                                                        Ekspert Şurasının sədri</w:t>
      </w:r>
    </w:p>
    <w:p w14:paraId="014EDBA5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</w:p>
    <w:p w14:paraId="494CF406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  <w:r w:rsidRPr="00FC6BAF">
        <w:rPr>
          <w:rFonts w:eastAsia="Times New Roman"/>
          <w:sz w:val="24"/>
          <w:szCs w:val="24"/>
          <w:lang w:val="az-Latn-AZ"/>
        </w:rPr>
        <w:t xml:space="preserve">                                                                                                        _____________  E.M.Ağayev</w:t>
      </w:r>
    </w:p>
    <w:p w14:paraId="283A7508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  <w:r w:rsidRPr="00FC6BAF">
        <w:rPr>
          <w:rFonts w:eastAsia="Times New Roman"/>
          <w:sz w:val="24"/>
          <w:szCs w:val="24"/>
          <w:lang w:val="az-Latn-AZ"/>
        </w:rPr>
        <w:t xml:space="preserve">                                                                                            </w:t>
      </w:r>
    </w:p>
    <w:p w14:paraId="65A87398" w14:textId="5BFA5A05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  <w:r w:rsidRPr="00FC6BAF">
        <w:rPr>
          <w:rFonts w:eastAsia="Times New Roman"/>
          <w:sz w:val="24"/>
          <w:szCs w:val="24"/>
          <w:lang w:val="az-Latn-AZ"/>
        </w:rPr>
        <w:t xml:space="preserve">                                                                                                        </w:t>
      </w:r>
      <w:r w:rsidR="00843492">
        <w:rPr>
          <w:rFonts w:eastAsia="Times New Roman"/>
          <w:sz w:val="24"/>
          <w:szCs w:val="24"/>
          <w:lang w:val="az-Latn-AZ"/>
        </w:rPr>
        <w:t xml:space="preserve">             </w:t>
      </w:r>
      <w:r w:rsidR="00843492">
        <w:rPr>
          <w:rFonts w:eastAsia="Times New Roman"/>
          <w:sz w:val="24"/>
          <w:szCs w:val="24"/>
        </w:rPr>
        <w:t xml:space="preserve">«11» </w:t>
      </w:r>
      <w:r w:rsidR="00843492">
        <w:rPr>
          <w:rFonts w:eastAsia="Times New Roman"/>
          <w:sz w:val="24"/>
          <w:szCs w:val="24"/>
          <w:lang w:val="az-Latn-AZ"/>
        </w:rPr>
        <w:t xml:space="preserve">iyul  </w:t>
      </w:r>
      <w:r w:rsidRPr="00FC6BAF">
        <w:rPr>
          <w:rFonts w:eastAsia="Times New Roman"/>
          <w:sz w:val="24"/>
          <w:szCs w:val="24"/>
          <w:lang w:val="az-Latn-AZ"/>
        </w:rPr>
        <w:t xml:space="preserve"> 2025-ci il</w:t>
      </w:r>
    </w:p>
    <w:p w14:paraId="0A677732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</w:p>
    <w:p w14:paraId="3E547EFF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</w:p>
    <w:p w14:paraId="4A98E191" w14:textId="77777777" w:rsidR="00FC6BAF" w:rsidRPr="00FC6BAF" w:rsidRDefault="00FC6BAF" w:rsidP="00FC6BAF">
      <w:pPr>
        <w:widowControl/>
        <w:autoSpaceDE/>
        <w:autoSpaceDN/>
        <w:adjustRightInd/>
        <w:rPr>
          <w:rFonts w:eastAsia="Times New Roman"/>
          <w:sz w:val="24"/>
          <w:szCs w:val="24"/>
          <w:lang w:val="az-Latn-AZ"/>
        </w:rPr>
      </w:pPr>
      <w:r w:rsidRPr="00FC6BAF">
        <w:rPr>
          <w:rFonts w:eastAsia="Times New Roman"/>
          <w:sz w:val="24"/>
          <w:szCs w:val="24"/>
          <w:lang w:val="az-Latn-AZ"/>
        </w:rPr>
        <w:t xml:space="preserve">                             Dərman vasitəsinin istifadəsi üzrə təlimat (xəstələr üçün)</w:t>
      </w:r>
    </w:p>
    <w:bookmarkEnd w:id="0"/>
    <w:p w14:paraId="661244DA" w14:textId="77777777" w:rsidR="00FC6BAF" w:rsidRPr="00FC6BAF" w:rsidRDefault="00FC6BAF" w:rsidP="00FC6BAF">
      <w:pPr>
        <w:pStyle w:val="NoSpacing"/>
        <w:rPr>
          <w:sz w:val="24"/>
          <w:szCs w:val="24"/>
          <w:lang w:val="az-Latn-AZ"/>
        </w:rPr>
      </w:pPr>
    </w:p>
    <w:p w14:paraId="65E83C7B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</w:p>
    <w:p w14:paraId="196519FF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BRONXO-MUNAL</w:t>
      </w:r>
      <w:r w:rsidRPr="00FC6BAF">
        <w:rPr>
          <w:b/>
          <w:sz w:val="24"/>
          <w:szCs w:val="24"/>
          <w:vertAlign w:val="superscript"/>
          <w:lang w:val="az-Latn-AZ"/>
        </w:rPr>
        <w:t>®</w:t>
      </w:r>
      <w:r w:rsidRPr="00FC6BAF">
        <w:rPr>
          <w:sz w:val="24"/>
          <w:szCs w:val="24"/>
          <w:lang w:val="az-Latn-AZ"/>
        </w:rPr>
        <w:t xml:space="preserve">        7 mq (böyüklər üçün)  kapsullar</w:t>
      </w:r>
    </w:p>
    <w:p w14:paraId="56A300E9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BRONCHO-MUNAL</w:t>
      </w:r>
      <w:r w:rsidRPr="00FC6BAF">
        <w:rPr>
          <w:sz w:val="24"/>
          <w:szCs w:val="24"/>
          <w:vertAlign w:val="superscript"/>
          <w:lang w:val="az-Latn-AZ"/>
        </w:rPr>
        <w:t>®</w:t>
      </w:r>
    </w:p>
    <w:p w14:paraId="4666CA1A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70643104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BRONXO-MUNAL</w:t>
      </w:r>
      <w:r w:rsidRPr="00FC6BAF">
        <w:rPr>
          <w:b/>
          <w:sz w:val="24"/>
          <w:szCs w:val="24"/>
          <w:vertAlign w:val="superscript"/>
          <w:lang w:val="az-Latn-AZ"/>
        </w:rPr>
        <w:t>®</w:t>
      </w:r>
      <w:r w:rsidRPr="00FC6BAF">
        <w:rPr>
          <w:b/>
          <w:sz w:val="24"/>
          <w:szCs w:val="24"/>
          <w:lang w:val="az-Latn-AZ"/>
        </w:rPr>
        <w:t xml:space="preserve"> P     </w:t>
      </w:r>
      <w:r w:rsidRPr="00FC6BAF">
        <w:rPr>
          <w:sz w:val="24"/>
          <w:szCs w:val="24"/>
          <w:lang w:val="az-Latn-AZ"/>
        </w:rPr>
        <w:t>3,5 mq (uşaqlar üçün) kapsullar</w:t>
      </w:r>
    </w:p>
    <w:p w14:paraId="4EB96408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BRONXO-MUNAL</w:t>
      </w:r>
      <w:r w:rsidRPr="00FC6BAF">
        <w:rPr>
          <w:sz w:val="24"/>
          <w:szCs w:val="24"/>
          <w:vertAlign w:val="superscript"/>
          <w:lang w:val="az-Latn-AZ"/>
        </w:rPr>
        <w:t>®</w:t>
      </w:r>
      <w:r w:rsidRPr="00FC6BAF">
        <w:rPr>
          <w:sz w:val="24"/>
          <w:szCs w:val="24"/>
          <w:lang w:val="az-Latn-AZ"/>
        </w:rPr>
        <w:t xml:space="preserve">  P</w:t>
      </w:r>
    </w:p>
    <w:p w14:paraId="393F713B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</w:p>
    <w:p w14:paraId="51E7B49B" w14:textId="77777777" w:rsidR="00FC6BAF" w:rsidRPr="00FC6BAF" w:rsidRDefault="00FC6BAF" w:rsidP="00FC6BAF">
      <w:pPr>
        <w:widowControl/>
        <w:rPr>
          <w:i/>
          <w:iCs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 xml:space="preserve">Beynəlxalq patentləşdirilməmiş adı: </w:t>
      </w:r>
      <w:r w:rsidRPr="00FC6BAF">
        <w:rPr>
          <w:bCs/>
          <w:sz w:val="24"/>
          <w:szCs w:val="24"/>
          <w:lang w:val="az-Latn-AZ"/>
        </w:rPr>
        <w:t>Liofilizə olunmuş bakterial lizat</w:t>
      </w:r>
      <w:r w:rsidRPr="00FC6BAF">
        <w:rPr>
          <w:b/>
          <w:sz w:val="24"/>
          <w:szCs w:val="24"/>
          <w:lang w:val="az-Latn-AZ"/>
        </w:rPr>
        <w:t xml:space="preserve"> </w:t>
      </w:r>
      <w:r w:rsidRPr="00FC6BAF">
        <w:rPr>
          <w:i/>
          <w:iCs/>
          <w:sz w:val="24"/>
          <w:szCs w:val="24"/>
          <w:lang w:val="az-Latn-AZ"/>
        </w:rPr>
        <w:t xml:space="preserve">(Haemophilus influenzae, </w:t>
      </w:r>
    </w:p>
    <w:p w14:paraId="410885C9" w14:textId="77777777" w:rsidR="00FC6BAF" w:rsidRPr="00FC6BAF" w:rsidRDefault="00FC6BAF" w:rsidP="00FC6BAF">
      <w:pPr>
        <w:widowControl/>
        <w:rPr>
          <w:i/>
          <w:iCs/>
          <w:sz w:val="24"/>
          <w:szCs w:val="24"/>
          <w:lang w:val="az-Latn-AZ"/>
        </w:rPr>
      </w:pPr>
      <w:r w:rsidRPr="00FC6BAF">
        <w:rPr>
          <w:i/>
          <w:iCs/>
          <w:sz w:val="24"/>
          <w:szCs w:val="24"/>
          <w:lang w:val="az-Latn-AZ"/>
        </w:rPr>
        <w:t xml:space="preserve">                                                              Streptococcus pneumoniae, Klebsiella pneumoniae spp. </w:t>
      </w:r>
    </w:p>
    <w:p w14:paraId="7F0143F0" w14:textId="77777777" w:rsidR="00FC6BAF" w:rsidRPr="00FC6BAF" w:rsidRDefault="00FC6BAF" w:rsidP="00FC6BAF">
      <w:pPr>
        <w:widowControl/>
        <w:rPr>
          <w:i/>
          <w:iCs/>
          <w:sz w:val="24"/>
          <w:szCs w:val="24"/>
          <w:lang w:val="az-Latn-AZ"/>
        </w:rPr>
      </w:pPr>
      <w:r w:rsidRPr="00FC6BAF">
        <w:rPr>
          <w:i/>
          <w:iCs/>
          <w:sz w:val="24"/>
          <w:szCs w:val="24"/>
          <w:lang w:val="az-Latn-AZ"/>
        </w:rPr>
        <w:t xml:space="preserve">                                                              pneumoniae и ozaenae, Staphylococcus aureus, </w:t>
      </w:r>
    </w:p>
    <w:p w14:paraId="6E9838CF" w14:textId="77777777" w:rsidR="00FC6BAF" w:rsidRPr="00FC6BAF" w:rsidRDefault="00FC6BAF" w:rsidP="00FC6BAF">
      <w:pPr>
        <w:widowControl/>
        <w:rPr>
          <w:i/>
          <w:iCs/>
          <w:sz w:val="24"/>
          <w:szCs w:val="24"/>
          <w:lang w:val="az-Latn-AZ"/>
        </w:rPr>
      </w:pPr>
      <w:r w:rsidRPr="00FC6BAF">
        <w:rPr>
          <w:i/>
          <w:iCs/>
          <w:sz w:val="24"/>
          <w:szCs w:val="24"/>
          <w:lang w:val="az-Latn-AZ"/>
        </w:rPr>
        <w:t xml:space="preserve">                                                              Streptococcus pyogenes и sanguinis, Moraxella </w:t>
      </w:r>
    </w:p>
    <w:p w14:paraId="60C84952" w14:textId="77777777" w:rsidR="00FC6BAF" w:rsidRPr="00FC6BAF" w:rsidRDefault="00FC6BAF" w:rsidP="00FC6BAF">
      <w:pPr>
        <w:widowControl/>
        <w:rPr>
          <w:i/>
          <w:iCs/>
          <w:sz w:val="24"/>
          <w:szCs w:val="24"/>
          <w:lang w:val="az-Latn-AZ"/>
        </w:rPr>
      </w:pPr>
      <w:r w:rsidRPr="00FC6BAF">
        <w:rPr>
          <w:i/>
          <w:iCs/>
          <w:sz w:val="24"/>
          <w:szCs w:val="24"/>
          <w:lang w:val="az-Latn-AZ"/>
        </w:rPr>
        <w:t xml:space="preserve">                                                              (Branhamella) catarrhalis)</w:t>
      </w:r>
    </w:p>
    <w:p w14:paraId="7EB1ACD2" w14:textId="77777777" w:rsidR="00FC6BAF" w:rsidRPr="00FC6BAF" w:rsidRDefault="00FC6BAF" w:rsidP="00FC6BAF">
      <w:pPr>
        <w:widowControl/>
        <w:rPr>
          <w:i/>
          <w:iCs/>
          <w:sz w:val="24"/>
          <w:szCs w:val="24"/>
          <w:lang w:val="az-Latn-AZ"/>
        </w:rPr>
      </w:pPr>
    </w:p>
    <w:p w14:paraId="013FF2EC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Tərkibi</w:t>
      </w:r>
    </w:p>
    <w:p w14:paraId="0D56FA50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i/>
          <w:sz w:val="24"/>
          <w:szCs w:val="24"/>
          <w:lang w:val="az-Latn-AZ"/>
        </w:rPr>
        <w:t>Təsiredici maddə:</w:t>
      </w:r>
      <w:r w:rsidRPr="00FC6BAF">
        <w:rPr>
          <w:sz w:val="24"/>
          <w:szCs w:val="24"/>
          <w:lang w:val="az-Latn-AZ"/>
        </w:rPr>
        <w:t xml:space="preserve">   1 kapsulda bakteriyaların 7 mq və ya 3,5 mq liofilizəolunmuş lizatı vardır.</w:t>
      </w:r>
    </w:p>
    <w:p w14:paraId="5CCD99D7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i/>
          <w:sz w:val="24"/>
          <w:szCs w:val="24"/>
          <w:lang w:val="az-Latn-AZ"/>
        </w:rPr>
        <w:t>Köməkçi maddələr:</w:t>
      </w:r>
      <w:r w:rsidRPr="00FC6BAF">
        <w:rPr>
          <w:sz w:val="24"/>
          <w:szCs w:val="24"/>
          <w:lang w:val="az-Latn-AZ"/>
        </w:rPr>
        <w:t xml:space="preserve"> susuz propilqallat, susuz natrium qlutamat, mannitol, maqnezium stearat, </w:t>
      </w:r>
    </w:p>
    <w:p w14:paraId="5693BD16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 xml:space="preserve">                                jelatinləşdirilmiş nişasta.</w:t>
      </w:r>
    </w:p>
    <w:p w14:paraId="7CC9CD67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i/>
          <w:sz w:val="24"/>
          <w:szCs w:val="24"/>
          <w:lang w:val="az-Latn-AZ"/>
        </w:rPr>
        <w:t>Jelatin kapsulların tərkibi:</w:t>
      </w:r>
      <w:r w:rsidRPr="00FC6BAF">
        <w:rPr>
          <w:sz w:val="24"/>
          <w:szCs w:val="24"/>
          <w:lang w:val="az-Latn-AZ"/>
        </w:rPr>
        <w:t xml:space="preserve"> indiqotin (E132), titan dioksid (E171), jelatin.</w:t>
      </w:r>
    </w:p>
    <w:p w14:paraId="64D9F582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</w:p>
    <w:p w14:paraId="18AC5744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Təsviri</w:t>
      </w:r>
    </w:p>
    <w:p w14:paraId="269C99C8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b/>
          <w:i/>
          <w:sz w:val="24"/>
          <w:szCs w:val="24"/>
          <w:lang w:val="az-Latn-AZ"/>
        </w:rPr>
        <w:t>BRONXO-MUNAL</w:t>
      </w:r>
      <w:r w:rsidRPr="008C27D0">
        <w:rPr>
          <w:b/>
          <w:i/>
          <w:sz w:val="24"/>
          <w:szCs w:val="24"/>
          <w:vertAlign w:val="superscript"/>
          <w:lang w:val="az-Latn-AZ"/>
        </w:rPr>
        <w:t>®</w:t>
      </w:r>
      <w:r w:rsidRPr="00FC6BAF">
        <w:rPr>
          <w:b/>
          <w:i/>
          <w:sz w:val="24"/>
          <w:szCs w:val="24"/>
          <w:lang w:val="az-Latn-AZ"/>
        </w:rPr>
        <w:t xml:space="preserve"> 7 mq kapsullar</w:t>
      </w:r>
    </w:p>
    <w:p w14:paraId="60C44B78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Mavi rəngli qeyri-şəffaf  qapağı və gövdəsi olan kapsullardır.</w:t>
      </w:r>
    </w:p>
    <w:p w14:paraId="6590352D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i/>
          <w:sz w:val="24"/>
          <w:szCs w:val="24"/>
          <w:lang w:val="az-Latn-AZ"/>
        </w:rPr>
        <w:t xml:space="preserve">Kapsulun möhtəviyyatı: </w:t>
      </w:r>
      <w:r w:rsidRPr="00FC6BAF">
        <w:rPr>
          <w:sz w:val="24"/>
          <w:szCs w:val="24"/>
          <w:lang w:val="az-Latn-AZ"/>
        </w:rPr>
        <w:t>zəif bej rəngə çalan tozdur.</w:t>
      </w:r>
    </w:p>
    <w:p w14:paraId="6854DF7B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b/>
          <w:i/>
          <w:sz w:val="24"/>
          <w:szCs w:val="24"/>
          <w:lang w:val="az-Latn-AZ"/>
        </w:rPr>
        <w:t>BRONXO-MUNAL</w:t>
      </w:r>
      <w:r w:rsidRPr="008C27D0">
        <w:rPr>
          <w:b/>
          <w:i/>
          <w:sz w:val="24"/>
          <w:szCs w:val="24"/>
          <w:vertAlign w:val="superscript"/>
          <w:lang w:val="az-Latn-AZ"/>
        </w:rPr>
        <w:t>®</w:t>
      </w:r>
      <w:r w:rsidRPr="00FC6BAF">
        <w:rPr>
          <w:b/>
          <w:i/>
          <w:sz w:val="24"/>
          <w:szCs w:val="24"/>
          <w:lang w:val="az-Latn-AZ"/>
        </w:rPr>
        <w:t xml:space="preserve"> P 3,5 mq kapsullar</w:t>
      </w:r>
    </w:p>
    <w:p w14:paraId="1B0E4D40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Mavi rəngli qeyri-şəffaf  qapağı, ağ rəngli qeyri-şəffaf gövdəsi olan kapsullardır.</w:t>
      </w:r>
    </w:p>
    <w:p w14:paraId="0EB64261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i/>
          <w:sz w:val="24"/>
          <w:szCs w:val="24"/>
          <w:lang w:val="az-Latn-AZ"/>
        </w:rPr>
        <w:t xml:space="preserve">Kapsulun möhtəviyyatı: </w:t>
      </w:r>
      <w:r w:rsidRPr="00FC6BAF">
        <w:rPr>
          <w:sz w:val="24"/>
          <w:szCs w:val="24"/>
          <w:lang w:val="az-Latn-AZ"/>
        </w:rPr>
        <w:t>zəif bej rəngə çalan tozdur.</w:t>
      </w:r>
    </w:p>
    <w:p w14:paraId="011D4A93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5BC299E1" w14:textId="77777777" w:rsidR="00FC6BAF" w:rsidRPr="00FC6BAF" w:rsidRDefault="00FC6BAF" w:rsidP="00FC6BAF">
      <w:pPr>
        <w:jc w:val="both"/>
        <w:rPr>
          <w:b/>
          <w:bCs/>
          <w:sz w:val="24"/>
          <w:szCs w:val="24"/>
          <w:lang w:val="az-Latn-AZ"/>
        </w:rPr>
      </w:pPr>
      <w:r w:rsidRPr="00FC6BAF">
        <w:rPr>
          <w:b/>
          <w:bCs/>
          <w:sz w:val="24"/>
          <w:szCs w:val="24"/>
          <w:lang w:val="az-Latn-AZ"/>
        </w:rPr>
        <w:t>Farmakoterapevtik qrupu</w:t>
      </w:r>
    </w:p>
    <w:p w14:paraId="53963A95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Digər immunostmulyatorlar.</w:t>
      </w:r>
    </w:p>
    <w:p w14:paraId="4552565F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b/>
          <w:bCs/>
          <w:sz w:val="24"/>
          <w:szCs w:val="24"/>
          <w:lang w:val="az-Latn-AZ"/>
        </w:rPr>
        <w:t>ATC kodu:</w:t>
      </w:r>
      <w:r w:rsidRPr="00FC6BAF">
        <w:rPr>
          <w:sz w:val="24"/>
          <w:szCs w:val="24"/>
          <w:lang w:val="az-Latn-AZ"/>
        </w:rPr>
        <w:t xml:space="preserve"> L03AX.</w:t>
      </w:r>
    </w:p>
    <w:p w14:paraId="02C8581A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</w:p>
    <w:p w14:paraId="5AE88BE6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Farmakoloji xüsusiyyətləri</w:t>
      </w:r>
    </w:p>
    <w:p w14:paraId="264BE813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BRONXO-MUNAL</w:t>
      </w:r>
      <w:r w:rsidRPr="008C27D0">
        <w:rPr>
          <w:sz w:val="24"/>
          <w:szCs w:val="24"/>
          <w:vertAlign w:val="superscript"/>
          <w:lang w:val="az-Latn-AZ"/>
        </w:rPr>
        <w:t>®</w:t>
      </w:r>
      <w:r w:rsidRPr="00FC6BAF">
        <w:rPr>
          <w:sz w:val="24"/>
          <w:szCs w:val="24"/>
          <w:lang w:val="az-Latn-AZ"/>
        </w:rPr>
        <w:t xml:space="preserve"> və BRONXO-MUNAL</w:t>
      </w:r>
      <w:r w:rsidRPr="008C27D0">
        <w:rPr>
          <w:sz w:val="24"/>
          <w:szCs w:val="24"/>
          <w:vertAlign w:val="superscript"/>
          <w:lang w:val="az-Latn-AZ"/>
        </w:rPr>
        <w:t>®</w:t>
      </w:r>
      <w:r w:rsidRPr="00FC6BAF">
        <w:rPr>
          <w:sz w:val="24"/>
          <w:szCs w:val="24"/>
          <w:lang w:val="az-Latn-AZ"/>
        </w:rPr>
        <w:t xml:space="preserve"> P-nin tərkibində əsasən tənəffüs yollarının infeksiyalarını törədən bakteriyaların (</w:t>
      </w:r>
      <w:r w:rsidRPr="00FC6BAF">
        <w:rPr>
          <w:i/>
          <w:sz w:val="24"/>
          <w:szCs w:val="24"/>
          <w:lang w:val="az-Latn-AZ"/>
        </w:rPr>
        <w:t>Streptococcus pneumoniae, Haemophilus influenzae, Klebsiella pneumoniae, Klebsiella ozaenae, Staphylococcus aureus, Streptococcus viridans, Streptococcus pyogenes, Moraxella catarrhalis</w:t>
      </w:r>
      <w:r w:rsidRPr="00FC6BAF">
        <w:rPr>
          <w:sz w:val="24"/>
          <w:szCs w:val="24"/>
          <w:lang w:val="az-Latn-AZ"/>
        </w:rPr>
        <w:t>) liofilizəolunmuş lizatı vardır.</w:t>
      </w:r>
    </w:p>
    <w:p w14:paraId="4912F280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Preparat orqanizmin immun cavab reaksiyalarını modullaşdırır, həm hüceyrə immunitetini, həm də humoral immuniteti stimullaşdırır. İnfeksiyaların tezliyini və ağırlıq dərəcəsini azaltmaqla antibiotiklərdən istifadə olunmanın zəruriliyini azaldır.</w:t>
      </w:r>
    </w:p>
    <w:p w14:paraId="76EDEAEB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</w:p>
    <w:p w14:paraId="205A3215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İstifadəsinə göstərişlər</w:t>
      </w:r>
    </w:p>
    <w:p w14:paraId="3F401B15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Tənəffüs yollarının bütün infeksion xəstəliklərində əlavə müalicə kimi.</w:t>
      </w:r>
    </w:p>
    <w:p w14:paraId="195BCB19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lastRenderedPageBreak/>
        <w:t>Profilaktika məqsədilə yuxarı və aşağı tənəffüs yollarının residivləşən infeksiyalarında (xroniki bronxit, tonzillit, faringit, laringit, rinit, sinusit, otit) təyin olunur.</w:t>
      </w:r>
    </w:p>
    <w:p w14:paraId="718B4915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077FA404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Əks göstərişlər</w:t>
      </w:r>
    </w:p>
    <w:p w14:paraId="46C3EAD2" w14:textId="77777777" w:rsidR="00FC6BAF" w:rsidRPr="00FC6BAF" w:rsidRDefault="00FC6BAF" w:rsidP="00FC6BAF">
      <w:pPr>
        <w:numPr>
          <w:ilvl w:val="0"/>
          <w:numId w:val="1"/>
        </w:numPr>
        <w:ind w:left="284" w:hanging="284"/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Preparatın komponentlərinə qarşı yüksək həssaslıq.</w:t>
      </w:r>
    </w:p>
    <w:p w14:paraId="65144B0F" w14:textId="77777777" w:rsidR="00FC6BAF" w:rsidRPr="00FC6BAF" w:rsidRDefault="00FC6BAF" w:rsidP="00FC6BAF">
      <w:pPr>
        <w:numPr>
          <w:ilvl w:val="0"/>
          <w:numId w:val="1"/>
        </w:numPr>
        <w:ind w:left="284" w:hanging="284"/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Hamiləlik</w:t>
      </w:r>
    </w:p>
    <w:p w14:paraId="5690774F" w14:textId="77777777" w:rsidR="00FC6BAF" w:rsidRPr="00FC6BAF" w:rsidRDefault="00FC6BAF" w:rsidP="00FC6BAF">
      <w:pPr>
        <w:numPr>
          <w:ilvl w:val="0"/>
          <w:numId w:val="1"/>
        </w:numPr>
        <w:ind w:left="284" w:hanging="284"/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Laktasiya dövrü</w:t>
      </w:r>
    </w:p>
    <w:p w14:paraId="7F3DEB03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</w:p>
    <w:p w14:paraId="056DBFB7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Xüsusi göstərişlər və ehtiyat tədbirləri</w:t>
      </w:r>
    </w:p>
    <w:p w14:paraId="5E607910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Peroral diri vaksinlərin qəbulu ilə BRONXO-MUNAL</w:t>
      </w:r>
      <w:r w:rsidRPr="008C27D0">
        <w:rPr>
          <w:sz w:val="24"/>
          <w:szCs w:val="24"/>
          <w:vertAlign w:val="superscript"/>
          <w:lang w:val="az-Latn-AZ"/>
        </w:rPr>
        <w:t>®</w:t>
      </w:r>
      <w:r w:rsidRPr="00FC6BAF">
        <w:rPr>
          <w:sz w:val="24"/>
          <w:szCs w:val="24"/>
          <w:lang w:val="az-Latn-AZ"/>
        </w:rPr>
        <w:t xml:space="preserve">-ın qəbulu arasında 4 həftəlik intervalın saxlanması tövsiyə olunur. </w:t>
      </w:r>
    </w:p>
    <w:p w14:paraId="361153BF" w14:textId="77777777" w:rsidR="00FC6BAF" w:rsidRPr="00FC6BAF" w:rsidRDefault="00FC6BAF" w:rsidP="00FC6BAF">
      <w:pPr>
        <w:widowControl/>
        <w:jc w:val="both"/>
        <w:rPr>
          <w:bCs/>
          <w:color w:val="000000"/>
          <w:sz w:val="24"/>
          <w:szCs w:val="24"/>
          <w:lang w:val="az-Latn-AZ"/>
        </w:rPr>
      </w:pPr>
      <w:r w:rsidRPr="00FC6BAF">
        <w:rPr>
          <w:bCs/>
          <w:color w:val="000000"/>
          <w:sz w:val="24"/>
          <w:szCs w:val="24"/>
          <w:lang w:val="az-Latn-AZ"/>
        </w:rPr>
        <w:t>Hiperhəssaslıq reaksiyalarının yaranmasına səbəb ola bilər. Əgər allergik reaksiyalar və ya dözümsüzlük əlamətləri yaranarsa müalicə dərhal dayandırılmalıdır.</w:t>
      </w:r>
    </w:p>
    <w:p w14:paraId="51C6A6AB" w14:textId="77777777" w:rsidR="00FC6BAF" w:rsidRPr="00FC6BAF" w:rsidRDefault="00FC6BAF" w:rsidP="00FC6BAF">
      <w:pPr>
        <w:widowControl/>
        <w:jc w:val="both"/>
        <w:rPr>
          <w:color w:val="000000"/>
          <w:sz w:val="24"/>
          <w:szCs w:val="24"/>
          <w:lang w:val="az-Latn-AZ"/>
        </w:rPr>
      </w:pPr>
      <w:r w:rsidRPr="00FC6BAF">
        <w:rPr>
          <w:color w:val="000000"/>
          <w:sz w:val="24"/>
          <w:szCs w:val="24"/>
          <w:lang w:val="az-Latn-AZ"/>
        </w:rPr>
        <w:t>İlkin və ikincili immunodefisit vəziyyətlər, autoimmun, revmatik və atopik xəstəlikləri olan şəxslərdə klinik istifadə təcrübəsi olmadığı üçün bu kateqoriya şəxslərdə dərman vasitəsinin istifadəsi tövsiyə olunmur.</w:t>
      </w:r>
    </w:p>
    <w:p w14:paraId="4CF4D79F" w14:textId="77777777" w:rsidR="00FC6BAF" w:rsidRPr="00FC6BAF" w:rsidRDefault="00FC6BAF" w:rsidP="00FC6BAF">
      <w:pPr>
        <w:widowControl/>
        <w:jc w:val="both"/>
        <w:rPr>
          <w:i/>
          <w:iCs/>
          <w:color w:val="000000"/>
          <w:sz w:val="24"/>
          <w:szCs w:val="24"/>
          <w:lang w:val="az-Latn-AZ"/>
        </w:rPr>
      </w:pPr>
      <w:r w:rsidRPr="00FC6BAF">
        <w:rPr>
          <w:i/>
          <w:iCs/>
          <w:color w:val="000000"/>
          <w:sz w:val="24"/>
          <w:szCs w:val="24"/>
          <w:lang w:val="az-Latn-AZ"/>
        </w:rPr>
        <w:t>Pediatrik populyasiya</w:t>
      </w:r>
    </w:p>
    <w:p w14:paraId="6800BF02" w14:textId="77777777" w:rsidR="00FC6BAF" w:rsidRPr="00FC6BAF" w:rsidRDefault="00FC6BAF" w:rsidP="00FC6BAF">
      <w:pPr>
        <w:jc w:val="both"/>
        <w:rPr>
          <w:color w:val="000000"/>
          <w:sz w:val="24"/>
          <w:szCs w:val="24"/>
          <w:lang w:val="az-Latn-AZ"/>
        </w:rPr>
      </w:pPr>
      <w:r w:rsidRPr="00FC6BAF">
        <w:rPr>
          <w:color w:val="000000"/>
          <w:sz w:val="24"/>
          <w:szCs w:val="24"/>
          <w:lang w:val="az-Latn-AZ"/>
        </w:rPr>
        <w:t>Bronxomunalın 6 aydan kiçik uşaqlarda istifadəsi haqqında klinik tədqiqatlardan olan məlumatlar məhdud olduğu və immun sisteminin formalaşmadığı üçün 6 aydan kiçik uşaqlarda istifadəsi tövsiyə olunmur.</w:t>
      </w:r>
    </w:p>
    <w:p w14:paraId="7FAC9E2B" w14:textId="77777777" w:rsidR="00FC6BAF" w:rsidRPr="00FC6BAF" w:rsidRDefault="00FC6BAF" w:rsidP="00FC6BAF">
      <w:pPr>
        <w:jc w:val="both"/>
        <w:rPr>
          <w:color w:val="000000"/>
          <w:sz w:val="24"/>
          <w:szCs w:val="24"/>
          <w:lang w:val="az-Latn-AZ"/>
        </w:rPr>
      </w:pPr>
      <w:r w:rsidRPr="00FC6BAF">
        <w:rPr>
          <w:i/>
          <w:iCs/>
          <w:color w:val="000000"/>
          <w:sz w:val="24"/>
          <w:szCs w:val="24"/>
          <w:lang w:val="az-Latn-AZ"/>
        </w:rPr>
        <w:t>Yaşlı, qaraciyər və böyrək çatışmazlığı ilə  xəstələr:</w:t>
      </w:r>
      <w:r w:rsidRPr="00FC6BAF">
        <w:rPr>
          <w:color w:val="000000"/>
          <w:sz w:val="24"/>
          <w:szCs w:val="24"/>
          <w:lang w:val="az-Latn-AZ"/>
        </w:rPr>
        <w:t xml:space="preserve"> təhlükəsizliyi ilə bağlı problemlər gözlənilmir.</w:t>
      </w:r>
    </w:p>
    <w:p w14:paraId="1C3CCDC9" w14:textId="77777777" w:rsidR="00FC6BAF" w:rsidRPr="00FC6BAF" w:rsidRDefault="00FC6BAF" w:rsidP="00FC6BAF">
      <w:pPr>
        <w:jc w:val="both"/>
        <w:rPr>
          <w:color w:val="000000"/>
          <w:sz w:val="24"/>
          <w:szCs w:val="24"/>
          <w:lang w:val="az-Latn-AZ"/>
        </w:rPr>
      </w:pPr>
      <w:r w:rsidRPr="00FC6BAF">
        <w:rPr>
          <w:i/>
          <w:iCs/>
          <w:color w:val="000000"/>
          <w:sz w:val="24"/>
          <w:szCs w:val="24"/>
          <w:lang w:val="az-Latn-AZ"/>
        </w:rPr>
        <w:t>Laborator tədqiqatlara və onların göstəricilərinə təsiri</w:t>
      </w:r>
      <w:r w:rsidRPr="00FC6BAF">
        <w:rPr>
          <w:color w:val="000000"/>
          <w:sz w:val="24"/>
          <w:szCs w:val="24"/>
          <w:lang w:val="az-Latn-AZ"/>
        </w:rPr>
        <w:t>: məlumat yoxdur.</w:t>
      </w:r>
    </w:p>
    <w:p w14:paraId="63AF5CBA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59853B10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Digər dərman vasitələri ilə qarşılıqlı təsiri</w:t>
      </w:r>
    </w:p>
    <w:p w14:paraId="6737B970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Təsvir  edilməmişdir.</w:t>
      </w:r>
    </w:p>
    <w:p w14:paraId="5FD1FBB7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15B28941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Hamiləlik və laktasiya dövründə istifadəsi</w:t>
      </w:r>
    </w:p>
    <w:p w14:paraId="7D483A0F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 xml:space="preserve">Hamiləlik və laktasiya dövründə dərman vasitəsi istifadə etməməlidir.  </w:t>
      </w:r>
    </w:p>
    <w:p w14:paraId="56E83B2C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</w:p>
    <w:p w14:paraId="2632EC37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Nəqliyyat vasitələrini və digər potensial təhlükəli mexanizmləri idarəetmə qabiliyyətinə təsiri</w:t>
      </w:r>
    </w:p>
    <w:p w14:paraId="0A9CBCAC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Nəqliyyat vasitələrini və potensial təhlükəli mexanizmləri idarəetmə qabiliyyətinə təsiri yoxdur.</w:t>
      </w:r>
    </w:p>
    <w:p w14:paraId="39FEB8EC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7C09168A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İstifadə qaydası və dozası</w:t>
      </w:r>
    </w:p>
    <w:p w14:paraId="03B2A00D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bCs/>
          <w:sz w:val="24"/>
          <w:szCs w:val="24"/>
          <w:lang w:val="az-Latn-AZ"/>
        </w:rPr>
        <w:t>Səhər ac qarına</w:t>
      </w:r>
      <w:r w:rsidRPr="00FC6BAF">
        <w:rPr>
          <w:sz w:val="24"/>
          <w:szCs w:val="24"/>
          <w:lang w:val="az-Latn-AZ"/>
        </w:rPr>
        <w:t xml:space="preserve"> d</w:t>
      </w:r>
      <w:r w:rsidRPr="00FC6BAF">
        <w:rPr>
          <w:bCs/>
          <w:sz w:val="24"/>
          <w:szCs w:val="24"/>
          <w:lang w:val="az-Latn-AZ"/>
        </w:rPr>
        <w:t>axilə qəbul edilir.</w:t>
      </w:r>
    </w:p>
    <w:p w14:paraId="76B2C632" w14:textId="77777777" w:rsidR="00FC6BAF" w:rsidRPr="00FC6BAF" w:rsidRDefault="00FC6BAF" w:rsidP="00FC6BAF">
      <w:pPr>
        <w:jc w:val="both"/>
        <w:rPr>
          <w:bCs/>
          <w:i/>
          <w:iCs/>
          <w:color w:val="000000"/>
          <w:sz w:val="24"/>
          <w:szCs w:val="24"/>
          <w:lang w:val="az-Latn-AZ"/>
        </w:rPr>
      </w:pPr>
      <w:r w:rsidRPr="00FC6BAF">
        <w:rPr>
          <w:bCs/>
          <w:i/>
          <w:iCs/>
          <w:sz w:val="24"/>
          <w:szCs w:val="24"/>
          <w:lang w:val="az-Latn-AZ"/>
        </w:rPr>
        <w:t>12 yaşdan  böyük uşaqlar və böyüklərdə</w:t>
      </w:r>
    </w:p>
    <w:p w14:paraId="436A6433" w14:textId="77777777" w:rsidR="00FC6BAF" w:rsidRPr="00FC6BAF" w:rsidRDefault="00FC6BAF" w:rsidP="00FC6BAF">
      <w:pPr>
        <w:jc w:val="both"/>
        <w:rPr>
          <w:i/>
          <w:iCs/>
          <w:sz w:val="24"/>
          <w:szCs w:val="24"/>
          <w:lang w:val="az-Latn-AZ"/>
        </w:rPr>
      </w:pPr>
      <w:r w:rsidRPr="00FC6BAF">
        <w:rPr>
          <w:i/>
          <w:iCs/>
          <w:sz w:val="24"/>
          <w:szCs w:val="24"/>
          <w:lang w:val="az-Latn-AZ"/>
        </w:rPr>
        <w:t>Tənəffüs traktının  infeksiyalarının profilaktik müalicə kursu</w:t>
      </w:r>
    </w:p>
    <w:p w14:paraId="6392D211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1 bərk kapsul (7 mq böyüklər üçün) hər gün acqarına, ayda 10 ardıcıl gün ərzində davamlı olaraq 3 ay müddətində qəbul edilir. İmkan olduqda hər ayın eyni günü müalicəyə başlamaq və 20-günlük interval saxlamaq lazımdır.</w:t>
      </w:r>
    </w:p>
    <w:p w14:paraId="1291B257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 xml:space="preserve">Tənəffüs yollarının infeksion xəstəliklərinin kəskin dövründə Bronxo-Munal gündə 1 kapsul 10-30 ardıcıl gün müddətində qəbul edilir. Sonrakı 2 ay ərzində 10 ardıcıl gün 1 kapsul qəbul etmək olar, kurslar arası 20-günlük interval saxlamaq şərti ilə. Antibiotikoterapiyaya göstəriş olduqda, Bronxo-Munal antibiotik ilə birgə qəbul olunur. </w:t>
      </w:r>
    </w:p>
    <w:p w14:paraId="7A73771D" w14:textId="77777777" w:rsidR="00FC6BAF" w:rsidRPr="00FC6BAF" w:rsidRDefault="00FC6BAF" w:rsidP="00FC6BAF">
      <w:pPr>
        <w:widowControl/>
        <w:jc w:val="both"/>
        <w:rPr>
          <w:i/>
          <w:iCs/>
          <w:sz w:val="24"/>
          <w:szCs w:val="24"/>
          <w:lang w:val="az-Latn-AZ"/>
        </w:rPr>
      </w:pPr>
      <w:r w:rsidRPr="00FC6BAF">
        <w:rPr>
          <w:i/>
          <w:iCs/>
          <w:sz w:val="24"/>
          <w:szCs w:val="24"/>
          <w:lang w:val="az-Latn-AZ"/>
        </w:rPr>
        <w:t>6 aydan 12 yaşa qədər uşaqlarda</w:t>
      </w:r>
    </w:p>
    <w:p w14:paraId="3AAD86A0" w14:textId="77777777" w:rsidR="00FC6BAF" w:rsidRPr="00FC6BAF" w:rsidRDefault="00FC6BAF" w:rsidP="00FC6BAF">
      <w:pPr>
        <w:widowControl/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Tənəffüs yollarının infeksiyalarının profilaktik müalicə kursu üçün:</w:t>
      </w:r>
    </w:p>
    <w:p w14:paraId="2E1281F7" w14:textId="77777777" w:rsidR="00FC6BAF" w:rsidRPr="00FC6BAF" w:rsidRDefault="00FC6BAF" w:rsidP="00FC6BAF">
      <w:pPr>
        <w:widowControl/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Ayda 10 ardıcıl gün ərzində gündə bir dəfə ac qarına bir bərk kapsul/saşe (3,5 mq uşaqlar üçün) davamlı olaraq 3 ay müddətində.</w:t>
      </w:r>
    </w:p>
    <w:p w14:paraId="1710B268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İmkan olduqda  hər ayın eyni günü müalicəyə başlamaq və 20- günlük interval saxlamaq lazımdır.</w:t>
      </w:r>
    </w:p>
    <w:p w14:paraId="7698F2CE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 xml:space="preserve">Tənəffüs yollarının infeksion xəstəliklərinin kəskin dövründə Bronxo-Munal P gündə 1 kapsul 10-30  ardıcıl gün müddətində qəbul edirlər. Sonrakı 2 ay ərzində 10 ardıcıl gün 1 kapsul qəbul etmək olar, kurslar arası 20-günlük interval saxlamaq şərti ilə. Antibiotikoterapiyaya göstəriş olduqda, Bronxo-Munal P antibiotik ilə birgə qəbul olunur. </w:t>
      </w:r>
    </w:p>
    <w:p w14:paraId="64A7BD6C" w14:textId="77777777" w:rsidR="00FC6BAF" w:rsidRPr="00FC6BAF" w:rsidRDefault="00FC6BAF" w:rsidP="00FC6BAF">
      <w:pPr>
        <w:widowControl/>
        <w:jc w:val="both"/>
        <w:rPr>
          <w:bCs/>
          <w:sz w:val="24"/>
          <w:szCs w:val="24"/>
          <w:lang w:val="az-Latn-AZ"/>
        </w:rPr>
      </w:pPr>
      <w:r w:rsidRPr="00FC6BAF">
        <w:rPr>
          <w:bCs/>
          <w:sz w:val="24"/>
          <w:szCs w:val="24"/>
          <w:lang w:val="az-Latn-AZ"/>
        </w:rPr>
        <w:t xml:space="preserve">Kapsulu uda  bilməyən uşaqlara (məs., 5 yaşına qədər uşaqlar), kapsulu açaraq, saşe qablaşmada olduğu kimi onun möhtəviyyatını adekvat miqdarda su, meyvə suyu, süd/uşaq qidasına əlavə etmək lazımdır. Məhlulu hazırladıqdan bir neçə dəqiqə sonra tam olaraq qəbul etmək və qəbul etməmişdən əvvəl hər zaman qarışdırmaq lazımdır. </w:t>
      </w:r>
    </w:p>
    <w:p w14:paraId="121ACA5A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</w:p>
    <w:p w14:paraId="28D1AAAD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Əlavə təsirləri</w:t>
      </w:r>
    </w:p>
    <w:p w14:paraId="0E8D695F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Əlavə təsirlər başvermə tezliyinə görə aşağıdakı kimi təsnif edilir: çox tez-tez (˃1/10), tez-tez (˃1/100 və ˂1/10), bəzən (˃1/1000 və ˂1/100), nadir hallarda (1/1000 və ˂1/10000), çox nadir hallarda (˂1/10000), məlum deyil ( mövcud olan məlumatlara əsasən təyin etmək mümkün deyil).</w:t>
      </w:r>
    </w:p>
    <w:p w14:paraId="62100FAA" w14:textId="77777777" w:rsidR="00FC6BAF" w:rsidRPr="00FC6BAF" w:rsidRDefault="00FC6BAF" w:rsidP="00FC6BAF">
      <w:pPr>
        <w:jc w:val="both"/>
        <w:rPr>
          <w:bCs/>
          <w:i/>
          <w:sz w:val="24"/>
          <w:szCs w:val="24"/>
          <w:lang w:val="az-Latn-AZ"/>
        </w:rPr>
      </w:pPr>
      <w:r w:rsidRPr="00FC6BAF">
        <w:rPr>
          <w:bCs/>
          <w:i/>
          <w:sz w:val="24"/>
          <w:szCs w:val="24"/>
          <w:lang w:val="az-Latn-AZ"/>
        </w:rPr>
        <w:t>Mədə-bağırsaq pozğunluqları</w:t>
      </w:r>
    </w:p>
    <w:p w14:paraId="1D35E8C4" w14:textId="77777777" w:rsidR="00FC6BAF" w:rsidRPr="00FC6BAF" w:rsidRDefault="00FC6BAF" w:rsidP="00FC6BAF">
      <w:pPr>
        <w:jc w:val="both"/>
        <w:rPr>
          <w:bCs/>
          <w:iCs/>
          <w:sz w:val="24"/>
          <w:szCs w:val="24"/>
          <w:lang w:val="az-Latn-AZ"/>
        </w:rPr>
      </w:pPr>
      <w:r w:rsidRPr="00FC6BAF">
        <w:rPr>
          <w:bCs/>
          <w:iCs/>
          <w:sz w:val="24"/>
          <w:szCs w:val="24"/>
          <w:lang w:val="az-Latn-AZ"/>
        </w:rPr>
        <w:t>Tez-tez: diareya, qarında ağrı</w:t>
      </w:r>
    </w:p>
    <w:p w14:paraId="382F7248" w14:textId="77777777" w:rsidR="00FC6BAF" w:rsidRPr="00FC6BAF" w:rsidRDefault="00FC6BAF" w:rsidP="00FC6BAF">
      <w:pPr>
        <w:jc w:val="both"/>
        <w:rPr>
          <w:bCs/>
          <w:iCs/>
          <w:sz w:val="24"/>
          <w:szCs w:val="24"/>
          <w:lang w:val="az-Latn-AZ"/>
        </w:rPr>
      </w:pPr>
      <w:r w:rsidRPr="00FC6BAF">
        <w:rPr>
          <w:bCs/>
          <w:iCs/>
          <w:sz w:val="24"/>
          <w:szCs w:val="24"/>
          <w:lang w:val="az-Latn-AZ"/>
        </w:rPr>
        <w:t>Məlum deyil: qusma, ürəkbulanma</w:t>
      </w:r>
    </w:p>
    <w:p w14:paraId="0F400E26" w14:textId="77777777" w:rsidR="00FC6BAF" w:rsidRPr="00FC6BAF" w:rsidRDefault="00FC6BAF" w:rsidP="00FC6BAF">
      <w:pPr>
        <w:jc w:val="both"/>
        <w:rPr>
          <w:bCs/>
          <w:i/>
          <w:sz w:val="24"/>
          <w:szCs w:val="24"/>
          <w:lang w:val="az-Latn-AZ"/>
        </w:rPr>
      </w:pPr>
      <w:r w:rsidRPr="00FC6BAF">
        <w:rPr>
          <w:bCs/>
          <w:i/>
          <w:sz w:val="24"/>
          <w:szCs w:val="24"/>
          <w:lang w:val="az-Latn-AZ"/>
        </w:rPr>
        <w:t>Tənəffüsün, döş qəfəsi və divar aralığı orqanlarına</w:t>
      </w:r>
    </w:p>
    <w:p w14:paraId="276B810D" w14:textId="77777777" w:rsidR="00FC6BAF" w:rsidRPr="00FC6BAF" w:rsidRDefault="00FC6BAF" w:rsidP="00FC6BAF">
      <w:pPr>
        <w:jc w:val="both"/>
        <w:rPr>
          <w:bCs/>
          <w:iCs/>
          <w:sz w:val="24"/>
          <w:szCs w:val="24"/>
          <w:lang w:val="az-Latn-AZ"/>
        </w:rPr>
      </w:pPr>
      <w:r w:rsidRPr="00FC6BAF">
        <w:rPr>
          <w:bCs/>
          <w:iCs/>
          <w:sz w:val="24"/>
          <w:szCs w:val="24"/>
          <w:lang w:val="az-Latn-AZ"/>
        </w:rPr>
        <w:t>Tez-tez: öskürək.</w:t>
      </w:r>
    </w:p>
    <w:p w14:paraId="6242A0DE" w14:textId="77777777" w:rsidR="00FC6BAF" w:rsidRPr="00FC6BAF" w:rsidRDefault="00FC6BAF" w:rsidP="00FC6BAF">
      <w:pPr>
        <w:jc w:val="both"/>
        <w:rPr>
          <w:bCs/>
          <w:iCs/>
          <w:sz w:val="24"/>
          <w:szCs w:val="24"/>
          <w:lang w:val="az-Latn-AZ"/>
        </w:rPr>
      </w:pPr>
      <w:r w:rsidRPr="00FC6BAF">
        <w:rPr>
          <w:bCs/>
          <w:iCs/>
          <w:sz w:val="24"/>
          <w:szCs w:val="24"/>
          <w:lang w:val="az-Latn-AZ"/>
        </w:rPr>
        <w:t>Bəzən: boğulma</w:t>
      </w:r>
    </w:p>
    <w:p w14:paraId="312259FD" w14:textId="77777777" w:rsidR="00FC6BAF" w:rsidRPr="00FC6BAF" w:rsidRDefault="00FC6BAF" w:rsidP="00FC6BAF">
      <w:pPr>
        <w:jc w:val="both"/>
        <w:rPr>
          <w:bCs/>
          <w:i/>
          <w:sz w:val="24"/>
          <w:szCs w:val="24"/>
          <w:lang w:val="az-Latn-AZ"/>
        </w:rPr>
      </w:pPr>
      <w:r w:rsidRPr="00FC6BAF">
        <w:rPr>
          <w:bCs/>
          <w:i/>
          <w:sz w:val="24"/>
          <w:szCs w:val="24"/>
          <w:lang w:val="az-Latn-AZ"/>
        </w:rPr>
        <w:t>Dəri və dərialtı toxumalara</w:t>
      </w:r>
    </w:p>
    <w:p w14:paraId="0DE3039F" w14:textId="77777777" w:rsidR="00FC6BAF" w:rsidRPr="00FC6BAF" w:rsidRDefault="00FC6BAF" w:rsidP="00FC6BAF">
      <w:pPr>
        <w:jc w:val="both"/>
        <w:rPr>
          <w:bCs/>
          <w:iCs/>
          <w:sz w:val="24"/>
          <w:szCs w:val="24"/>
          <w:lang w:val="az-Latn-AZ"/>
        </w:rPr>
      </w:pPr>
      <w:r w:rsidRPr="00FC6BAF">
        <w:rPr>
          <w:bCs/>
          <w:iCs/>
          <w:sz w:val="24"/>
          <w:szCs w:val="24"/>
          <w:lang w:val="az-Latn-AZ"/>
        </w:rPr>
        <w:t>Tez-tez: səpgi.</w:t>
      </w:r>
    </w:p>
    <w:p w14:paraId="590EB3E4" w14:textId="77777777" w:rsidR="00FC6BAF" w:rsidRPr="00FC6BAF" w:rsidRDefault="00FC6BAF" w:rsidP="00FC6BAF">
      <w:pPr>
        <w:jc w:val="both"/>
        <w:rPr>
          <w:bCs/>
          <w:iCs/>
          <w:sz w:val="24"/>
          <w:szCs w:val="24"/>
          <w:lang w:val="az-Latn-AZ"/>
        </w:rPr>
      </w:pPr>
      <w:r w:rsidRPr="00FC6BAF">
        <w:rPr>
          <w:bCs/>
          <w:iCs/>
          <w:sz w:val="24"/>
          <w:szCs w:val="24"/>
          <w:lang w:val="az-Latn-AZ"/>
        </w:rPr>
        <w:t xml:space="preserve">Məlum deyil: övrə. </w:t>
      </w:r>
    </w:p>
    <w:p w14:paraId="24181675" w14:textId="77777777" w:rsidR="00FC6BAF" w:rsidRPr="00FC6BAF" w:rsidRDefault="00FC6BAF" w:rsidP="00FC6BAF">
      <w:pPr>
        <w:jc w:val="both"/>
        <w:rPr>
          <w:bCs/>
          <w:i/>
          <w:sz w:val="24"/>
          <w:szCs w:val="24"/>
          <w:lang w:val="az-Latn-AZ"/>
        </w:rPr>
      </w:pPr>
      <w:r w:rsidRPr="00FC6BAF">
        <w:rPr>
          <w:bCs/>
          <w:i/>
          <w:sz w:val="24"/>
          <w:szCs w:val="24"/>
          <w:lang w:val="az-Latn-AZ"/>
        </w:rPr>
        <w:t>İmmun sistemə</w:t>
      </w:r>
    </w:p>
    <w:p w14:paraId="4B225E2B" w14:textId="77777777" w:rsidR="00FC6BAF" w:rsidRPr="00FC6BAF" w:rsidRDefault="00FC6BAF" w:rsidP="00FC6BAF">
      <w:pPr>
        <w:jc w:val="both"/>
        <w:rPr>
          <w:bCs/>
          <w:sz w:val="24"/>
          <w:szCs w:val="24"/>
          <w:lang w:val="az-Latn-AZ"/>
        </w:rPr>
      </w:pPr>
      <w:r w:rsidRPr="00FC6BAF">
        <w:rPr>
          <w:bCs/>
          <w:sz w:val="24"/>
          <w:szCs w:val="24"/>
          <w:lang w:val="az-Latn-AZ"/>
        </w:rPr>
        <w:t>Bəzən: yüksək həssaslıq reaksiyaları (eritematoz səpgi, generalizə olunmuş səpgi, eritema, ödem, göz qapaqlarının ödemi, üzün ödemi, periferik ödemlər, pastoz vəziyyət, qaşınma, generalizə olunmuş qaşınma, təngnəfəslik).</w:t>
      </w:r>
    </w:p>
    <w:p w14:paraId="00838565" w14:textId="77777777" w:rsidR="00FC6BAF" w:rsidRPr="00FC6BAF" w:rsidRDefault="00FC6BAF" w:rsidP="00FC6BAF">
      <w:pPr>
        <w:jc w:val="both"/>
        <w:rPr>
          <w:bCs/>
          <w:sz w:val="24"/>
          <w:szCs w:val="24"/>
          <w:lang w:val="az-Latn-AZ"/>
        </w:rPr>
      </w:pPr>
      <w:r w:rsidRPr="00FC6BAF">
        <w:rPr>
          <w:bCs/>
          <w:sz w:val="24"/>
          <w:szCs w:val="24"/>
          <w:lang w:val="az-Latn-AZ"/>
        </w:rPr>
        <w:t>Məlum deyil: angionevrotik ödem.</w:t>
      </w:r>
    </w:p>
    <w:p w14:paraId="50A12B23" w14:textId="77777777" w:rsidR="00FC6BAF" w:rsidRPr="00FC6BAF" w:rsidRDefault="00FC6BAF" w:rsidP="00FC6BAF">
      <w:pPr>
        <w:jc w:val="both"/>
        <w:rPr>
          <w:bCs/>
          <w:i/>
          <w:sz w:val="24"/>
          <w:szCs w:val="24"/>
          <w:lang w:val="az-Latn-AZ"/>
        </w:rPr>
      </w:pPr>
      <w:r w:rsidRPr="00FC6BAF">
        <w:rPr>
          <w:bCs/>
          <w:i/>
          <w:sz w:val="24"/>
          <w:szCs w:val="24"/>
          <w:lang w:val="az-Latn-AZ"/>
        </w:rPr>
        <w:t xml:space="preserve">Ümumi pozulmalar və yeridilmə yerində vəziyyət </w:t>
      </w:r>
    </w:p>
    <w:p w14:paraId="5200C770" w14:textId="77777777" w:rsidR="00FC6BAF" w:rsidRPr="00FC6BAF" w:rsidRDefault="00FC6BAF" w:rsidP="00FC6BAF">
      <w:pPr>
        <w:jc w:val="both"/>
        <w:rPr>
          <w:bCs/>
          <w:sz w:val="24"/>
          <w:szCs w:val="24"/>
          <w:lang w:val="az-Latn-AZ"/>
        </w:rPr>
      </w:pPr>
      <w:r w:rsidRPr="00FC6BAF">
        <w:rPr>
          <w:bCs/>
          <w:sz w:val="24"/>
          <w:szCs w:val="24"/>
          <w:lang w:val="az-Latn-AZ"/>
        </w:rPr>
        <w:t>Məlum deyil: yüksək qızdırma, yorulma</w:t>
      </w:r>
    </w:p>
    <w:p w14:paraId="02F0044F" w14:textId="77777777" w:rsidR="00FC6BAF" w:rsidRPr="00FC6BAF" w:rsidRDefault="00FC6BAF" w:rsidP="00FC6BAF">
      <w:pPr>
        <w:jc w:val="both"/>
        <w:rPr>
          <w:bCs/>
          <w:i/>
          <w:iCs/>
          <w:sz w:val="24"/>
          <w:szCs w:val="24"/>
          <w:lang w:val="az-Latn-AZ"/>
        </w:rPr>
      </w:pPr>
      <w:r w:rsidRPr="00FC6BAF">
        <w:rPr>
          <w:bCs/>
          <w:i/>
          <w:iCs/>
          <w:sz w:val="24"/>
          <w:szCs w:val="24"/>
          <w:lang w:val="az-Latn-AZ"/>
        </w:rPr>
        <w:t>Sinir sisteminə</w:t>
      </w:r>
    </w:p>
    <w:p w14:paraId="4CE1FE66" w14:textId="77777777" w:rsidR="00FC6BAF" w:rsidRPr="00FC6BAF" w:rsidRDefault="00FC6BAF" w:rsidP="00FC6BAF">
      <w:pPr>
        <w:jc w:val="both"/>
        <w:rPr>
          <w:bCs/>
          <w:sz w:val="24"/>
          <w:szCs w:val="24"/>
          <w:lang w:val="az-Latn-AZ"/>
        </w:rPr>
      </w:pPr>
      <w:r w:rsidRPr="00FC6BAF">
        <w:rPr>
          <w:bCs/>
          <w:sz w:val="24"/>
          <w:szCs w:val="24"/>
          <w:lang w:val="az-Latn-AZ"/>
        </w:rPr>
        <w:t xml:space="preserve">Məlum deyil: baş ağrısı. </w:t>
      </w:r>
    </w:p>
    <w:p w14:paraId="14E975A3" w14:textId="77777777" w:rsidR="00FC6BAF" w:rsidRPr="00FC6BAF" w:rsidRDefault="00FC6BAF" w:rsidP="00FC6BAF">
      <w:pPr>
        <w:jc w:val="both"/>
        <w:rPr>
          <w:b/>
          <w:i/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Tənəffüs və mədə-bağırsaq sistemi tərəfindən davamlı əlavə təsirlər olduğu zaman preparatın qəbulu dayandırılmalıdır</w:t>
      </w:r>
    </w:p>
    <w:p w14:paraId="5B52ABE1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0D98C363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Doza həddinin aşılması</w:t>
      </w:r>
      <w:r w:rsidRPr="00FC6BAF">
        <w:rPr>
          <w:sz w:val="24"/>
          <w:szCs w:val="24"/>
          <w:lang w:val="az-Latn-AZ"/>
        </w:rPr>
        <w:t xml:space="preserve"> </w:t>
      </w:r>
    </w:p>
    <w:p w14:paraId="388C6EFA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Dərman vasitəsinin heyvanlar üzərində aparılmış toksiklik tədqiqatlarının nəticələri və bakterial lizatın təbiəti doza həddinin aşılması fəsadlarının az ehtimal olduğunu sübut edir.</w:t>
      </w:r>
    </w:p>
    <w:p w14:paraId="7E8A47A1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</w:p>
    <w:p w14:paraId="19EAF163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Buraxılış forması</w:t>
      </w:r>
    </w:p>
    <w:p w14:paraId="653B2D38" w14:textId="77777777" w:rsidR="00FC6BAF" w:rsidRPr="00FC6BAF" w:rsidRDefault="00FC6BAF" w:rsidP="00FC6BAF">
      <w:pPr>
        <w:jc w:val="both"/>
        <w:rPr>
          <w:b/>
          <w:i/>
          <w:sz w:val="24"/>
          <w:szCs w:val="24"/>
          <w:lang w:val="az-Latn-AZ"/>
        </w:rPr>
      </w:pPr>
      <w:r w:rsidRPr="00FC6BAF">
        <w:rPr>
          <w:b/>
          <w:i/>
          <w:sz w:val="24"/>
          <w:szCs w:val="24"/>
          <w:lang w:val="az-Latn-AZ"/>
        </w:rPr>
        <w:t>BRONXO-MUNAL</w:t>
      </w:r>
      <w:r w:rsidRPr="008C27D0">
        <w:rPr>
          <w:b/>
          <w:i/>
          <w:sz w:val="24"/>
          <w:szCs w:val="24"/>
          <w:vertAlign w:val="superscript"/>
          <w:lang w:val="az-Latn-AZ"/>
        </w:rPr>
        <w:t>®</w:t>
      </w:r>
      <w:r w:rsidRPr="00FC6BAF">
        <w:rPr>
          <w:b/>
          <w:i/>
          <w:sz w:val="24"/>
          <w:szCs w:val="24"/>
          <w:lang w:val="az-Latn-AZ"/>
        </w:rPr>
        <w:t xml:space="preserve">  7 mq kapsullar</w:t>
      </w:r>
    </w:p>
    <w:p w14:paraId="2A429769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10 və ya 30 kapsul, blisterdə içlik vərəqə ilə birlikdə karton qutuya qablaşdırılır.</w:t>
      </w:r>
    </w:p>
    <w:p w14:paraId="57B7575B" w14:textId="77777777" w:rsidR="00FC6BAF" w:rsidRPr="00FC6BAF" w:rsidRDefault="00FC6BAF" w:rsidP="00FC6BAF">
      <w:pPr>
        <w:jc w:val="both"/>
        <w:rPr>
          <w:b/>
          <w:i/>
          <w:sz w:val="24"/>
          <w:szCs w:val="24"/>
          <w:lang w:val="az-Latn-AZ"/>
        </w:rPr>
      </w:pPr>
      <w:r w:rsidRPr="00FC6BAF">
        <w:rPr>
          <w:b/>
          <w:i/>
          <w:sz w:val="24"/>
          <w:szCs w:val="24"/>
          <w:lang w:val="az-Latn-AZ"/>
        </w:rPr>
        <w:t>BRONXO-MUNAL</w:t>
      </w:r>
      <w:r w:rsidRPr="008C27D0">
        <w:rPr>
          <w:b/>
          <w:i/>
          <w:sz w:val="24"/>
          <w:szCs w:val="24"/>
          <w:vertAlign w:val="superscript"/>
          <w:lang w:val="az-Latn-AZ"/>
        </w:rPr>
        <w:t>®</w:t>
      </w:r>
      <w:r w:rsidRPr="00FC6BAF">
        <w:rPr>
          <w:b/>
          <w:i/>
          <w:sz w:val="24"/>
          <w:szCs w:val="24"/>
          <w:lang w:val="az-Latn-AZ"/>
        </w:rPr>
        <w:t xml:space="preserve"> P  3,5 mq kapsullar</w:t>
      </w:r>
    </w:p>
    <w:p w14:paraId="2F9F3173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10 və ya 30 kapsul, blisterdə içlik vərəqə ilə birlikdə karton qutuya qablaşdırılır.</w:t>
      </w:r>
    </w:p>
    <w:p w14:paraId="0938D821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64C82B2D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Saxlanma şəraiti</w:t>
      </w:r>
    </w:p>
    <w:p w14:paraId="6E2D383C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25°C-dən yüksək olmayan temperaturda, quru və uşaqların əli çatmayan yerdə saxlamaq lazımdır.</w:t>
      </w:r>
    </w:p>
    <w:p w14:paraId="57D33C4C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5DBD1C07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Yararlılıq müddəti</w:t>
      </w:r>
    </w:p>
    <w:p w14:paraId="3AE93261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Yararlılıq müddəti qablaşdırıldığı qutunun üzərində göstərilmişdir.</w:t>
      </w:r>
    </w:p>
    <w:p w14:paraId="1F3E740E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Yararlılıq müddəti bitdikdən sonra istifadə etmək olmaz.</w:t>
      </w:r>
    </w:p>
    <w:p w14:paraId="39F6F522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5226EE18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Aptekdən buraxılma şərti</w:t>
      </w:r>
    </w:p>
    <w:p w14:paraId="3A88F944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  <w:r w:rsidRPr="00FC6BAF">
        <w:rPr>
          <w:sz w:val="24"/>
          <w:szCs w:val="24"/>
          <w:lang w:val="az-Latn-AZ"/>
        </w:rPr>
        <w:t>Reseptsiz buraxılır.</w:t>
      </w:r>
    </w:p>
    <w:p w14:paraId="33CF8AC8" w14:textId="77777777" w:rsidR="00FC6BAF" w:rsidRPr="00FC6BAF" w:rsidRDefault="00FC6BAF" w:rsidP="00FC6BAF">
      <w:pPr>
        <w:jc w:val="both"/>
        <w:rPr>
          <w:sz w:val="24"/>
          <w:szCs w:val="24"/>
          <w:lang w:val="az-Latn-AZ"/>
        </w:rPr>
      </w:pPr>
    </w:p>
    <w:p w14:paraId="3C0BF5C5" w14:textId="77777777" w:rsidR="00FC6BAF" w:rsidRPr="00FC6BAF" w:rsidRDefault="00FC6BAF" w:rsidP="00FC6BAF">
      <w:pPr>
        <w:jc w:val="both"/>
        <w:rPr>
          <w:b/>
          <w:sz w:val="24"/>
          <w:szCs w:val="24"/>
          <w:lang w:val="az-Latn-AZ"/>
        </w:rPr>
      </w:pPr>
      <w:r w:rsidRPr="00FC6BAF">
        <w:rPr>
          <w:b/>
          <w:sz w:val="24"/>
          <w:szCs w:val="24"/>
          <w:lang w:val="az-Latn-AZ"/>
        </w:rPr>
        <w:t>İstehsalçı</w:t>
      </w:r>
    </w:p>
    <w:p w14:paraId="31E05B9C" w14:textId="77777777" w:rsidR="00FC6BAF" w:rsidRPr="00FC6BAF" w:rsidRDefault="00FC6BAF" w:rsidP="00FC6BAF">
      <w:pPr>
        <w:jc w:val="both"/>
        <w:rPr>
          <w:rFonts w:eastAsia="TimesNewRoman"/>
          <w:sz w:val="24"/>
          <w:szCs w:val="24"/>
          <w:lang w:val="az-Latn-AZ"/>
        </w:rPr>
      </w:pPr>
      <w:r w:rsidRPr="00FC6BAF">
        <w:rPr>
          <w:rFonts w:eastAsia="TimesNewRoman"/>
          <w:sz w:val="24"/>
          <w:szCs w:val="24"/>
          <w:lang w:val="az-Latn-AZ"/>
        </w:rPr>
        <w:t xml:space="preserve">Lek Pharmaceuticals d.d., Slovenia. </w:t>
      </w:r>
    </w:p>
    <w:p w14:paraId="07274FBC" w14:textId="77777777" w:rsidR="00FC6BAF" w:rsidRPr="00FC6BAF" w:rsidRDefault="00FC6BAF" w:rsidP="00FC6BAF">
      <w:pPr>
        <w:pStyle w:val="NoSpacing"/>
        <w:jc w:val="both"/>
        <w:rPr>
          <w:rFonts w:eastAsia="TimesNewRoman"/>
          <w:sz w:val="24"/>
          <w:szCs w:val="24"/>
          <w:lang w:val="az-Latn-AZ"/>
        </w:rPr>
      </w:pPr>
      <w:r w:rsidRPr="00FC6BAF">
        <w:rPr>
          <w:rFonts w:eastAsia="TimesNewRoman"/>
          <w:sz w:val="24"/>
          <w:szCs w:val="24"/>
          <w:lang w:val="az-Latn-AZ"/>
        </w:rPr>
        <w:t xml:space="preserve">Verovškova 57, 1526 Ljubljana, Slovenia.  </w:t>
      </w:r>
    </w:p>
    <w:p w14:paraId="0A2A8D88" w14:textId="77777777" w:rsidR="00FC6BAF" w:rsidRPr="00FC6BAF" w:rsidRDefault="00FC6BAF" w:rsidP="00FC6BAF">
      <w:pPr>
        <w:pStyle w:val="NoSpacing"/>
        <w:jc w:val="both"/>
        <w:rPr>
          <w:rFonts w:eastAsia="TimesNewRoman"/>
          <w:sz w:val="24"/>
          <w:szCs w:val="24"/>
          <w:lang w:val="az-Latn-AZ"/>
        </w:rPr>
      </w:pPr>
    </w:p>
    <w:p w14:paraId="1D8450A8" w14:textId="77777777" w:rsidR="00FC6BAF" w:rsidRPr="00FC6BAF" w:rsidRDefault="00FC6BAF" w:rsidP="00FC6BAF">
      <w:pPr>
        <w:pStyle w:val="NoSpacing"/>
        <w:jc w:val="both"/>
        <w:rPr>
          <w:rFonts w:eastAsia="TimesNewRoman"/>
          <w:sz w:val="24"/>
          <w:szCs w:val="24"/>
          <w:lang w:val="az-Latn-AZ"/>
        </w:rPr>
      </w:pPr>
      <w:r w:rsidRPr="00FC6BAF">
        <w:rPr>
          <w:rFonts w:eastAsia="TimesNewRoman"/>
          <w:sz w:val="24"/>
          <w:szCs w:val="24"/>
          <w:lang w:val="az-Latn-AZ"/>
        </w:rPr>
        <w:t xml:space="preserve">Novartis Pharmaceutical Manufacturing LLC. </w:t>
      </w:r>
    </w:p>
    <w:p w14:paraId="781703FC" w14:textId="77777777" w:rsidR="00FC6BAF" w:rsidRPr="00FC6BAF" w:rsidRDefault="00FC6BAF" w:rsidP="00FC6BAF">
      <w:pPr>
        <w:pStyle w:val="NoSpacing"/>
        <w:jc w:val="both"/>
        <w:rPr>
          <w:rFonts w:eastAsia="TimesNewRoman"/>
          <w:sz w:val="24"/>
          <w:szCs w:val="24"/>
          <w:lang w:val="az-Latn-AZ"/>
        </w:rPr>
      </w:pPr>
      <w:r w:rsidRPr="00FC6BAF">
        <w:rPr>
          <w:rFonts w:eastAsia="TimesNewRoman"/>
          <w:sz w:val="24"/>
          <w:szCs w:val="24"/>
          <w:lang w:val="az-Latn-AZ"/>
        </w:rPr>
        <w:t xml:space="preserve">Verovškova ulica 57, Ljubljana, 1000, Slovenia.  </w:t>
      </w:r>
    </w:p>
    <w:p w14:paraId="2600DB47" w14:textId="77777777" w:rsidR="00FC6BAF" w:rsidRPr="00FC6BAF" w:rsidRDefault="00FC6BAF" w:rsidP="00FC6BAF">
      <w:pPr>
        <w:pStyle w:val="NoSpacing"/>
        <w:jc w:val="both"/>
        <w:rPr>
          <w:rFonts w:eastAsia="TimesNewRoman"/>
          <w:sz w:val="24"/>
          <w:szCs w:val="24"/>
          <w:lang w:val="az-Latn-AZ"/>
        </w:rPr>
      </w:pPr>
    </w:p>
    <w:p w14:paraId="09E8E8AC" w14:textId="77777777" w:rsidR="00FC6BAF" w:rsidRPr="00FC6BAF" w:rsidRDefault="00FC6BAF" w:rsidP="00FC6BAF">
      <w:pPr>
        <w:pStyle w:val="NoSpacing"/>
        <w:jc w:val="both"/>
        <w:rPr>
          <w:rFonts w:eastAsia="TimesNewRoman"/>
          <w:sz w:val="24"/>
          <w:szCs w:val="24"/>
          <w:lang w:val="az-Latn-AZ"/>
        </w:rPr>
      </w:pPr>
      <w:r w:rsidRPr="00FC6BAF">
        <w:rPr>
          <w:rFonts w:eastAsia="TimesNewRoman"/>
          <w:sz w:val="24"/>
          <w:szCs w:val="24"/>
          <w:lang w:val="az-Latn-AZ"/>
        </w:rPr>
        <w:t>OM Pharma, Switzerland.</w:t>
      </w:r>
    </w:p>
    <w:p w14:paraId="4732B29A" w14:textId="77777777" w:rsidR="00FC6BAF" w:rsidRPr="00FC6BAF" w:rsidRDefault="00FC6BAF" w:rsidP="00FC6BAF">
      <w:pPr>
        <w:pStyle w:val="NoSpacing"/>
        <w:jc w:val="both"/>
        <w:rPr>
          <w:rFonts w:eastAsia="TimesNewRoman"/>
          <w:color w:val="000000"/>
          <w:sz w:val="24"/>
          <w:szCs w:val="24"/>
          <w:lang w:val="az-Latn-AZ" w:eastAsia="en-US"/>
        </w:rPr>
      </w:pPr>
      <w:r w:rsidRPr="00FC6BAF">
        <w:rPr>
          <w:rFonts w:eastAsia="TimesNewRoman"/>
          <w:color w:val="000000"/>
          <w:sz w:val="24"/>
          <w:szCs w:val="24"/>
          <w:lang w:val="az-Latn-AZ"/>
        </w:rPr>
        <w:t>22,rue du Bois-du-Lan,1217, Geneva Switzerland.</w:t>
      </w:r>
    </w:p>
    <w:p w14:paraId="7EFA868C" w14:textId="77777777" w:rsidR="00FC6BAF" w:rsidRPr="00FC6BAF" w:rsidRDefault="00FC6BAF" w:rsidP="00FC6BAF">
      <w:pPr>
        <w:jc w:val="both"/>
        <w:rPr>
          <w:b/>
          <w:bCs/>
          <w:color w:val="000000"/>
          <w:sz w:val="24"/>
          <w:szCs w:val="24"/>
          <w:lang w:val="az-Latn-AZ"/>
        </w:rPr>
      </w:pPr>
    </w:p>
    <w:p w14:paraId="6C08A96F" w14:textId="77777777" w:rsidR="00FC6BAF" w:rsidRPr="00FC6BAF" w:rsidRDefault="00FC6BAF" w:rsidP="00FC6BAF">
      <w:pPr>
        <w:jc w:val="both"/>
        <w:rPr>
          <w:b/>
          <w:bCs/>
          <w:color w:val="000000"/>
          <w:sz w:val="24"/>
          <w:szCs w:val="24"/>
          <w:lang w:val="az-Latn-AZ"/>
        </w:rPr>
      </w:pPr>
      <w:r w:rsidRPr="00FC6BAF">
        <w:rPr>
          <w:b/>
          <w:bCs/>
          <w:color w:val="000000"/>
          <w:sz w:val="24"/>
          <w:szCs w:val="24"/>
          <w:lang w:val="az-Latn-AZ"/>
        </w:rPr>
        <w:t>Qeydiyyat vəsiqəsinin sahibi</w:t>
      </w:r>
    </w:p>
    <w:p w14:paraId="2358FBD7" w14:textId="77777777" w:rsidR="00FC6BAF" w:rsidRPr="00FC6BAF" w:rsidRDefault="00FC6BAF" w:rsidP="00FC6BAF">
      <w:pPr>
        <w:jc w:val="both"/>
        <w:rPr>
          <w:color w:val="000000"/>
          <w:sz w:val="24"/>
          <w:szCs w:val="24"/>
          <w:lang w:val="az-Latn-AZ"/>
        </w:rPr>
      </w:pPr>
      <w:r w:rsidRPr="00FC6BAF">
        <w:rPr>
          <w:color w:val="000000"/>
          <w:sz w:val="24"/>
          <w:szCs w:val="24"/>
          <w:lang w:val="az-Latn-AZ"/>
        </w:rPr>
        <w:t>Lek d. d.</w:t>
      </w:r>
    </w:p>
    <w:p w14:paraId="27C22BF7" w14:textId="77777777" w:rsidR="00FC6BAF" w:rsidRPr="00FC6BAF" w:rsidRDefault="00FC6BAF" w:rsidP="00FC6BAF">
      <w:pPr>
        <w:jc w:val="both"/>
        <w:rPr>
          <w:color w:val="000000"/>
          <w:sz w:val="24"/>
          <w:szCs w:val="24"/>
          <w:lang w:val="az-Latn-AZ"/>
        </w:rPr>
      </w:pPr>
      <w:r w:rsidRPr="00FC6BAF">
        <w:rPr>
          <w:color w:val="000000"/>
          <w:sz w:val="24"/>
          <w:szCs w:val="24"/>
          <w:lang w:val="az-Latn-AZ"/>
        </w:rPr>
        <w:t xml:space="preserve">Verovşkova 57, Lyublyana, Sloveniya. </w:t>
      </w:r>
    </w:p>
    <w:p w14:paraId="5F1D79CC" w14:textId="77777777" w:rsidR="00FC6BAF" w:rsidRPr="00FC6BAF" w:rsidRDefault="00FC6BAF" w:rsidP="00FC6BAF">
      <w:pPr>
        <w:jc w:val="both"/>
        <w:rPr>
          <w:i/>
          <w:color w:val="000000"/>
          <w:sz w:val="24"/>
          <w:szCs w:val="24"/>
          <w:lang w:val="az-Latn-AZ"/>
        </w:rPr>
      </w:pPr>
      <w:bookmarkStart w:id="1" w:name="_Hlk28510316"/>
    </w:p>
    <w:p w14:paraId="08D66380" w14:textId="77777777" w:rsidR="00FC6BAF" w:rsidRPr="00FC6BAF" w:rsidRDefault="00FC6BAF" w:rsidP="00FC6BAF">
      <w:pPr>
        <w:autoSpaceDE/>
        <w:autoSpaceDN/>
        <w:adjustRightInd/>
        <w:spacing w:line="240" w:lineRule="atLeast"/>
        <w:jc w:val="both"/>
        <w:rPr>
          <w:i/>
          <w:sz w:val="24"/>
          <w:szCs w:val="24"/>
          <w:lang w:val="az-Latn-AZ"/>
        </w:rPr>
      </w:pPr>
      <w:bookmarkStart w:id="2" w:name="_Hlk147494227"/>
      <w:bookmarkEnd w:id="1"/>
    </w:p>
    <w:p w14:paraId="23B3D78E" w14:textId="77777777" w:rsidR="00FC6BAF" w:rsidRPr="00FC6BAF" w:rsidRDefault="00FC6BAF" w:rsidP="00FC6BAF">
      <w:pPr>
        <w:autoSpaceDE/>
        <w:autoSpaceDN/>
        <w:adjustRightInd/>
        <w:spacing w:line="240" w:lineRule="atLeast"/>
        <w:jc w:val="both"/>
        <w:rPr>
          <w:i/>
          <w:color w:val="000000"/>
          <w:sz w:val="24"/>
          <w:szCs w:val="24"/>
          <w:lang w:val="az-Latn-AZ"/>
        </w:rPr>
      </w:pPr>
      <w:r w:rsidRPr="00FC6BAF">
        <w:rPr>
          <w:i/>
          <w:color w:val="000000"/>
          <w:sz w:val="24"/>
          <w:szCs w:val="24"/>
          <w:lang w:val="az-Latn-AZ"/>
        </w:rPr>
        <w:t xml:space="preserve">Bu dərman vasitəsinin qəbulu ilə əlaqədar hər-hansı şikayətiniz yaranan zaman aşağıda qeyd olunan </w:t>
      </w:r>
    </w:p>
    <w:p w14:paraId="456122F3" w14:textId="77777777" w:rsidR="00FC6BAF" w:rsidRPr="00FC6BAF" w:rsidRDefault="00FC6BAF" w:rsidP="00FC6BAF">
      <w:pPr>
        <w:autoSpaceDE/>
        <w:autoSpaceDN/>
        <w:adjustRightInd/>
        <w:spacing w:line="240" w:lineRule="atLeast"/>
        <w:jc w:val="both"/>
        <w:rPr>
          <w:i/>
          <w:color w:val="000000"/>
          <w:sz w:val="24"/>
          <w:szCs w:val="24"/>
          <w:lang w:val="az-Latn-AZ"/>
        </w:rPr>
      </w:pPr>
      <w:r w:rsidRPr="00FC6BAF">
        <w:rPr>
          <w:i/>
          <w:color w:val="000000"/>
          <w:sz w:val="24"/>
          <w:szCs w:val="24"/>
          <w:lang w:val="az-Latn-AZ"/>
        </w:rPr>
        <w:t>e-mail və nömrələrə   müraciət etməyiniz xahiş olunur.</w:t>
      </w:r>
    </w:p>
    <w:p w14:paraId="3A869F3E" w14:textId="77777777" w:rsidR="00FC6BAF" w:rsidRPr="00FC6BAF" w:rsidRDefault="00FC6BAF" w:rsidP="00FC6BAF">
      <w:pPr>
        <w:autoSpaceDE/>
        <w:autoSpaceDN/>
        <w:adjustRightInd/>
        <w:spacing w:line="240" w:lineRule="atLeast"/>
        <w:jc w:val="both"/>
        <w:rPr>
          <w:i/>
          <w:color w:val="000000"/>
          <w:sz w:val="24"/>
          <w:szCs w:val="24"/>
          <w:lang w:val="az-Latn-AZ"/>
        </w:rPr>
      </w:pPr>
    </w:p>
    <w:p w14:paraId="5997D4A1" w14:textId="77777777" w:rsidR="00FC6BAF" w:rsidRPr="00FC6BAF" w:rsidRDefault="00FC6BAF" w:rsidP="00FC6BAF">
      <w:pPr>
        <w:widowControl/>
        <w:autoSpaceDE/>
        <w:autoSpaceDN/>
        <w:adjustRightInd/>
        <w:rPr>
          <w:color w:val="000000"/>
          <w:sz w:val="24"/>
          <w:szCs w:val="24"/>
          <w:lang w:val="az-Latn-AZ"/>
        </w:rPr>
      </w:pPr>
      <w:bookmarkStart w:id="3" w:name="_Hlk147494211"/>
      <w:r w:rsidRPr="00FC6BAF">
        <w:rPr>
          <w:color w:val="000000"/>
          <w:sz w:val="24"/>
          <w:szCs w:val="24"/>
          <w:lang w:val="az-Latn-AZ"/>
        </w:rPr>
        <w:t>E</w:t>
      </w:r>
      <w:r>
        <w:rPr>
          <w:color w:val="000000"/>
          <w:sz w:val="24"/>
          <w:szCs w:val="24"/>
          <w:lang w:val="az-Latn-AZ"/>
        </w:rPr>
        <w:t>-</w:t>
      </w:r>
      <w:r w:rsidRPr="00FC6BAF">
        <w:rPr>
          <w:color w:val="000000"/>
          <w:sz w:val="24"/>
          <w:szCs w:val="24"/>
          <w:lang w:val="az-Latn-AZ"/>
        </w:rPr>
        <w:t xml:space="preserve">mail: </w:t>
      </w:r>
      <w:hyperlink r:id="rId7" w:history="1">
        <w:r w:rsidRPr="00FC6BAF">
          <w:rPr>
            <w:color w:val="000000"/>
            <w:sz w:val="24"/>
            <w:szCs w:val="24"/>
            <w:u w:val="single"/>
            <w:lang w:val="az-Latn-AZ"/>
          </w:rPr>
          <w:t>patient.safety.cis@sandoz.com</w:t>
        </w:r>
      </w:hyperlink>
    </w:p>
    <w:p w14:paraId="30C50CCA" w14:textId="77777777" w:rsidR="00FC6BAF" w:rsidRPr="00FC6BAF" w:rsidRDefault="00FC6BAF" w:rsidP="00FC6BAF">
      <w:pPr>
        <w:widowControl/>
        <w:jc w:val="both"/>
        <w:rPr>
          <w:rFonts w:eastAsia="TimesNewRoman"/>
          <w:color w:val="000000"/>
          <w:sz w:val="24"/>
          <w:szCs w:val="24"/>
          <w:lang w:val="az-Latn-AZ"/>
        </w:rPr>
      </w:pPr>
    </w:p>
    <w:p w14:paraId="1288753B" w14:textId="77777777" w:rsidR="00FC6BAF" w:rsidRPr="00FC6BAF" w:rsidRDefault="00FC6BAF" w:rsidP="00FC6BAF">
      <w:pPr>
        <w:widowControl/>
        <w:jc w:val="both"/>
        <w:rPr>
          <w:rFonts w:eastAsia="TimesNewRoman"/>
          <w:color w:val="000000"/>
          <w:sz w:val="24"/>
          <w:szCs w:val="24"/>
          <w:lang w:val="az-Latn-AZ"/>
        </w:rPr>
      </w:pPr>
      <w:r w:rsidRPr="00FC6BAF">
        <w:rPr>
          <w:rFonts w:eastAsia="TimesNewRoman"/>
          <w:color w:val="000000"/>
          <w:sz w:val="24"/>
          <w:szCs w:val="24"/>
          <w:lang w:val="az-Latn-AZ"/>
        </w:rPr>
        <w:t>Bakı şəhəri, Nəsimi rayonu, Rəsul Rza 75</w:t>
      </w:r>
    </w:p>
    <w:p w14:paraId="180615BA" w14:textId="77777777" w:rsidR="00FC6BAF" w:rsidRPr="00FC6BAF" w:rsidRDefault="00FC6BAF" w:rsidP="00FC6BAF">
      <w:pPr>
        <w:widowControl/>
        <w:jc w:val="both"/>
        <w:rPr>
          <w:rFonts w:eastAsia="TimesNewRoman"/>
          <w:color w:val="000000"/>
          <w:sz w:val="24"/>
          <w:szCs w:val="24"/>
          <w:lang w:val="az-Latn-AZ"/>
        </w:rPr>
      </w:pPr>
      <w:r w:rsidRPr="00FC6BAF">
        <w:rPr>
          <w:rFonts w:eastAsia="TimesNewRoman"/>
          <w:color w:val="000000"/>
          <w:sz w:val="24"/>
          <w:szCs w:val="24"/>
          <w:lang w:val="az-Latn-AZ"/>
        </w:rPr>
        <w:t>Winter Park Plaza business centre, mərt.5.</w:t>
      </w:r>
    </w:p>
    <w:p w14:paraId="3C7C4A60" w14:textId="77777777" w:rsidR="00FC6BAF" w:rsidRPr="00FC6BAF" w:rsidRDefault="00FC6BAF" w:rsidP="00FC6BAF">
      <w:pPr>
        <w:widowControl/>
        <w:jc w:val="both"/>
        <w:rPr>
          <w:rFonts w:eastAsia="TimesNewRoman"/>
          <w:color w:val="000000"/>
          <w:sz w:val="24"/>
          <w:szCs w:val="24"/>
          <w:lang w:val="az-Latn-AZ"/>
        </w:rPr>
      </w:pPr>
      <w:r w:rsidRPr="00FC6BAF">
        <w:rPr>
          <w:rFonts w:eastAsia="TimesNewRoman"/>
          <w:color w:val="000000"/>
          <w:sz w:val="24"/>
          <w:szCs w:val="24"/>
          <w:lang w:val="az-Latn-AZ"/>
        </w:rPr>
        <w:t>Tel.: +994 12 599-83-89.</w:t>
      </w:r>
    </w:p>
    <w:p w14:paraId="073E1B7F" w14:textId="77777777" w:rsidR="00843492" w:rsidRPr="00FC6BAF" w:rsidRDefault="00FC6BAF" w:rsidP="00FC6BAF">
      <w:pPr>
        <w:widowControl/>
        <w:jc w:val="both"/>
        <w:rPr>
          <w:rFonts w:eastAsia="TimesNewRoman"/>
          <w:color w:val="000000"/>
          <w:sz w:val="24"/>
          <w:szCs w:val="24"/>
          <w:lang w:val="az-Latn-AZ"/>
        </w:rPr>
      </w:pPr>
      <w:r w:rsidRPr="00FC6BAF">
        <w:rPr>
          <w:rFonts w:eastAsia="TimesNewRoman"/>
          <w:color w:val="000000"/>
          <w:sz w:val="24"/>
          <w:szCs w:val="24"/>
          <w:lang w:val="az-Latn-AZ"/>
        </w:rPr>
        <w:t xml:space="preserve">         +994 12 599-83-90.</w:t>
      </w:r>
      <w:bookmarkEnd w:id="2"/>
      <w:bookmarkEnd w:id="3"/>
    </w:p>
    <w:sectPr w:rsidR="008126C2" w:rsidRPr="00FC6BAF" w:rsidSect="00C01280">
      <w:headerReference w:type="even" r:id="rId8"/>
      <w:pgSz w:w="11906" w:h="16838"/>
      <w:pgMar w:top="851" w:right="707" w:bottom="709" w:left="1134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2C68" w14:textId="77777777" w:rsidR="0084353A" w:rsidRDefault="0084353A">
      <w:r>
        <w:separator/>
      </w:r>
    </w:p>
  </w:endnote>
  <w:endnote w:type="continuationSeparator" w:id="0">
    <w:p w14:paraId="4E28B423" w14:textId="77777777" w:rsidR="0084353A" w:rsidRDefault="0084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1D8A" w14:textId="77777777" w:rsidR="0084353A" w:rsidRDefault="0084353A">
      <w:r>
        <w:separator/>
      </w:r>
    </w:p>
  </w:footnote>
  <w:footnote w:type="continuationSeparator" w:id="0">
    <w:p w14:paraId="57630E10" w14:textId="77777777" w:rsidR="0084353A" w:rsidRDefault="0084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E03C5" w14:textId="77777777" w:rsidR="00843492" w:rsidRDefault="00FC6BAF" w:rsidP="0062468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B3695E" w14:textId="77777777" w:rsidR="00843492" w:rsidRDefault="00843492" w:rsidP="0062468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E31C3"/>
    <w:multiLevelType w:val="hybridMultilevel"/>
    <w:tmpl w:val="91EEE856"/>
    <w:lvl w:ilvl="0" w:tplc="04941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58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AF"/>
    <w:rsid w:val="003310EA"/>
    <w:rsid w:val="005916FA"/>
    <w:rsid w:val="005D2F3D"/>
    <w:rsid w:val="00843492"/>
    <w:rsid w:val="0084353A"/>
    <w:rsid w:val="008C27D0"/>
    <w:rsid w:val="00FC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6F65"/>
  <w15:chartTrackingRefBased/>
  <w15:docId w15:val="{8E2358E6-AEFA-4911-ADC3-56F3D8CD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B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6BA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C6BAF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FC6BAF"/>
  </w:style>
  <w:style w:type="paragraph" w:styleId="NoSpacing">
    <w:name w:val="No Spacing"/>
    <w:uiPriority w:val="1"/>
    <w:qFormat/>
    <w:rsid w:val="00FC6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tient.safety.cis@sando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1346</Words>
  <Characters>7674</Characters>
  <Application>Microsoft Office Word</Application>
  <DocSecurity>0</DocSecurity>
  <Lines>63</Lines>
  <Paragraphs>18</Paragraphs>
  <ScaleCrop>false</ScaleCrop>
  <Company>diakov.net</Company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Novruzova Narmina</cp:lastModifiedBy>
  <cp:revision>3</cp:revision>
  <dcterms:created xsi:type="dcterms:W3CDTF">2025-06-23T21:56:00Z</dcterms:created>
  <dcterms:modified xsi:type="dcterms:W3CDTF">2025-07-16T05:46:00Z</dcterms:modified>
</cp:coreProperties>
</file>